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C4" w:rsidRPr="001034C4" w:rsidRDefault="001034C4" w:rsidP="001034C4">
      <w:pPr>
        <w:jc w:val="center"/>
        <w:rPr>
          <w:rFonts w:ascii="Arial" w:hAnsi="Arial" w:cs="Arial"/>
          <w:b/>
        </w:rPr>
      </w:pPr>
      <w:r w:rsidRPr="001034C4">
        <w:rPr>
          <w:rFonts w:ascii="Arial" w:hAnsi="Arial" w:cs="Arial"/>
          <w:b/>
        </w:rPr>
        <w:t>Additional FTCA Resources</w:t>
      </w:r>
    </w:p>
    <w:p w:rsidR="001034C4" w:rsidRPr="001034C4" w:rsidRDefault="001034C4" w:rsidP="001034C4">
      <w:pPr>
        <w:rPr>
          <w:rFonts w:ascii="Arial" w:hAnsi="Arial" w:cs="Arial"/>
        </w:rPr>
      </w:pPr>
    </w:p>
    <w:p w:rsidR="001034C4" w:rsidRPr="001034C4" w:rsidRDefault="001034C4" w:rsidP="001034C4">
      <w:pPr>
        <w:rPr>
          <w:rFonts w:ascii="Arial" w:hAnsi="Arial" w:cs="Arial"/>
          <w:color w:val="000000"/>
        </w:rPr>
      </w:pPr>
      <w:proofErr w:type="gramStart"/>
      <w:r w:rsidRPr="001034C4">
        <w:rPr>
          <w:rFonts w:ascii="Arial" w:hAnsi="Arial" w:cs="Arial"/>
          <w:color w:val="000000"/>
        </w:rPr>
        <w:t>BPHC’s FTCA “</w:t>
      </w:r>
      <w:hyperlink r:id="rId5" w:history="1">
        <w:r w:rsidRPr="001034C4">
          <w:rPr>
            <w:rStyle w:val="Hyperlink"/>
            <w:rFonts w:ascii="Arial" w:hAnsi="Arial" w:cs="Arial"/>
          </w:rPr>
          <w:t>tip sheet</w:t>
        </w:r>
      </w:hyperlink>
      <w:r w:rsidRPr="001034C4">
        <w:rPr>
          <w:rFonts w:ascii="Arial" w:hAnsi="Arial" w:cs="Arial"/>
          <w:color w:val="000000"/>
        </w:rPr>
        <w:t>.”</w:t>
      </w:r>
      <w:proofErr w:type="gramEnd"/>
      <w:r w:rsidRPr="001034C4">
        <w:rPr>
          <w:rFonts w:ascii="Arial" w:hAnsi="Arial" w:cs="Arial"/>
          <w:color w:val="000000"/>
        </w:rPr>
        <w:t xml:space="preserve"> The </w:t>
      </w:r>
      <w:hyperlink r:id="rId6" w:history="1">
        <w:r w:rsidRPr="001034C4">
          <w:rPr>
            <w:rStyle w:val="Hyperlink"/>
            <w:rFonts w:ascii="Arial" w:hAnsi="Arial" w:cs="Arial"/>
          </w:rPr>
          <w:t>tip sheet</w:t>
        </w:r>
      </w:hyperlink>
      <w:r w:rsidRPr="001034C4">
        <w:rPr>
          <w:rFonts w:ascii="Arial" w:hAnsi="Arial" w:cs="Arial"/>
          <w:color w:val="000000"/>
        </w:rPr>
        <w:t xml:space="preserve"> provides additional guidance and information for each of the topics below. Also, under each topic area below, you will find additional resources you might find helpful. </w:t>
      </w:r>
    </w:p>
    <w:p w:rsidR="001034C4" w:rsidRPr="001034C4" w:rsidRDefault="001034C4" w:rsidP="001034C4">
      <w:pPr>
        <w:rPr>
          <w:rFonts w:ascii="Arial" w:hAnsi="Arial" w:cs="Arial"/>
          <w:color w:val="000000"/>
        </w:rPr>
      </w:pPr>
    </w:p>
    <w:p w:rsidR="001034C4" w:rsidRPr="001034C4" w:rsidRDefault="001034C4" w:rsidP="001034C4">
      <w:pPr>
        <w:rPr>
          <w:rFonts w:ascii="Arial" w:hAnsi="Arial" w:cs="Arial"/>
          <w:color w:val="000000"/>
        </w:rPr>
      </w:pPr>
      <w:r w:rsidRPr="001034C4">
        <w:rPr>
          <w:rFonts w:ascii="Arial" w:hAnsi="Arial" w:cs="Arial"/>
          <w:color w:val="000000"/>
        </w:rPr>
        <w:t>For specific pieces of the FTCA deeming/redeeming application, resources for each of the following topics can be found below.</w:t>
      </w:r>
      <w:bookmarkStart w:id="0" w:name="_GoBack"/>
      <w:bookmarkEnd w:id="0"/>
    </w:p>
    <w:p w:rsidR="006C47EE" w:rsidRDefault="006C47EE" w:rsidP="006C47EE">
      <w:pPr>
        <w:rPr>
          <w:rFonts w:ascii="Arial" w:hAnsi="Arial" w:cs="Arial"/>
        </w:rPr>
      </w:pPr>
    </w:p>
    <w:p w:rsidR="006C47EE" w:rsidRPr="0077373E" w:rsidRDefault="006C47EE" w:rsidP="006C47EE">
      <w:pPr>
        <w:rPr>
          <w:rFonts w:ascii="Arial" w:hAnsi="Arial" w:cs="Arial"/>
          <w:b/>
          <w:sz w:val="20"/>
          <w:szCs w:val="20"/>
        </w:rPr>
      </w:pPr>
      <w:r w:rsidRPr="0077373E">
        <w:rPr>
          <w:rFonts w:ascii="Arial" w:hAnsi="Arial" w:cs="Arial"/>
          <w:b/>
          <w:sz w:val="20"/>
          <w:szCs w:val="20"/>
        </w:rPr>
        <w:t>FTCA Policies</w:t>
      </w:r>
    </w:p>
    <w:p w:rsidR="006C47EE" w:rsidRPr="0077373E" w:rsidRDefault="006C47EE" w:rsidP="006C47EE">
      <w:pPr>
        <w:rPr>
          <w:rFonts w:ascii="Arial" w:hAnsi="Arial" w:cs="Arial"/>
          <w:sz w:val="20"/>
          <w:szCs w:val="20"/>
        </w:rPr>
      </w:pP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hyperlink r:id="rId7" w:history="1">
        <w:r w:rsidRPr="0077373E">
          <w:rPr>
            <w:rStyle w:val="Hyperlink"/>
            <w:rFonts w:ascii="Arial" w:hAnsi="Arial" w:cs="Arial"/>
            <w:b/>
            <w:bCs/>
            <w:sz w:val="20"/>
            <w:szCs w:val="20"/>
          </w:rPr>
          <w:t>Program Assistance Letter 2014-03</w:t>
        </w:r>
      </w:hyperlink>
      <w:r w:rsidRPr="0077373E">
        <w:rPr>
          <w:rFonts w:ascii="Arial" w:hAnsi="Arial" w:cs="Arial"/>
          <w:color w:val="000000"/>
          <w:sz w:val="20"/>
          <w:szCs w:val="20"/>
        </w:rPr>
        <w:br/>
      </w:r>
      <w:r w:rsidRPr="0077373E">
        <w:rPr>
          <w:rFonts w:ascii="Arial" w:hAnsi="Arial" w:cs="Arial"/>
          <w:b/>
          <w:bCs/>
          <w:color w:val="000000"/>
          <w:sz w:val="20"/>
          <w:szCs w:val="20"/>
        </w:rPr>
        <w:t>Calendar Year (CY) 2015 Requirements for Federal Tort Claims Act (FTCA) Medical Malpractice Coverage for Health Centers</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r w:rsidRPr="0077373E">
        <w:rPr>
          <w:rFonts w:ascii="Arial" w:hAnsi="Arial" w:cs="Arial"/>
          <w:color w:val="000000"/>
          <w:sz w:val="20"/>
          <w:szCs w:val="20"/>
        </w:rPr>
        <w:t>This PAL addresses the process that CHCs must take in order to submit their FTCA deeming and redeeming applications for calendar year 2015.</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hyperlink r:id="rId8" w:history="1">
        <w:r w:rsidRPr="0077373E">
          <w:rPr>
            <w:rStyle w:val="Hyperlink"/>
            <w:rFonts w:ascii="Arial" w:hAnsi="Arial" w:cs="Arial"/>
            <w:b/>
            <w:bCs/>
            <w:sz w:val="20"/>
            <w:szCs w:val="20"/>
          </w:rPr>
          <w:t>Policy Information Notice 2011-01</w:t>
        </w:r>
      </w:hyperlink>
      <w:r w:rsidRPr="0077373E">
        <w:rPr>
          <w:rFonts w:ascii="Arial" w:hAnsi="Arial" w:cs="Arial"/>
          <w:b/>
          <w:bCs/>
          <w:color w:val="000000"/>
          <w:sz w:val="20"/>
          <w:szCs w:val="20"/>
        </w:rPr>
        <w:br/>
        <w:t>Federal Tort Claims Act (FTCA) Health Center Policy Manual</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r w:rsidRPr="0077373E">
        <w:rPr>
          <w:rFonts w:ascii="Arial" w:hAnsi="Arial" w:cs="Arial"/>
          <w:color w:val="000000"/>
          <w:sz w:val="20"/>
          <w:szCs w:val="20"/>
        </w:rPr>
        <w:t>The FTCA Health Center Policy Manual is the primary source for information on the FTCA for 330 program grantees. The FTCA manuals are consistently amended to incorporate future FTCA policy changes and clarifications.</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hyperlink r:id="rId9" w:history="1">
        <w:r w:rsidRPr="0077373E">
          <w:rPr>
            <w:rStyle w:val="Hyperlink"/>
            <w:rFonts w:ascii="Arial" w:hAnsi="Arial" w:cs="Arial"/>
            <w:b/>
            <w:bCs/>
            <w:sz w:val="20"/>
            <w:szCs w:val="20"/>
          </w:rPr>
          <w:t>Policy Information Notice 2007-16</w:t>
        </w:r>
      </w:hyperlink>
      <w:r w:rsidRPr="0077373E">
        <w:rPr>
          <w:rFonts w:ascii="Arial" w:hAnsi="Arial" w:cs="Arial"/>
          <w:color w:val="000000"/>
          <w:sz w:val="20"/>
          <w:szCs w:val="20"/>
        </w:rPr>
        <w:br/>
      </w:r>
      <w:r w:rsidRPr="0077373E">
        <w:rPr>
          <w:rFonts w:ascii="Arial" w:hAnsi="Arial" w:cs="Arial"/>
          <w:b/>
          <w:bCs/>
          <w:color w:val="000000"/>
          <w:sz w:val="20"/>
          <w:szCs w:val="20"/>
        </w:rPr>
        <w:t>Federal Tort Claims Act (FTCA) Coverage for Health Center Program Grantees Responding to Emergencies</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r w:rsidRPr="0077373E">
        <w:rPr>
          <w:rFonts w:ascii="Arial" w:hAnsi="Arial" w:cs="Arial"/>
          <w:color w:val="000000"/>
          <w:sz w:val="20"/>
          <w:szCs w:val="20"/>
        </w:rPr>
        <w:t>This PIN clarifies the scope of Federal Tort Claims Act (FTCA) coverage for FTCA-deemed Health Center Program grantees during an emergency. This PIN does not address the CHC’s scope of project for purposes of Medicaid/Medicare reimbursement during an emergency or eligibility for the 340B Drug Pricing Program during an emergency.</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hyperlink r:id="rId10" w:tgtFrame="_blank" w:history="1">
        <w:r w:rsidRPr="0077373E">
          <w:rPr>
            <w:rStyle w:val="Hyperlink"/>
            <w:rFonts w:ascii="Arial" w:hAnsi="Arial" w:cs="Arial"/>
            <w:b/>
            <w:bCs/>
            <w:sz w:val="20"/>
            <w:szCs w:val="20"/>
          </w:rPr>
          <w:t>Policy Information Notice 2002-22</w:t>
        </w:r>
      </w:hyperlink>
      <w:r w:rsidRPr="0077373E">
        <w:rPr>
          <w:rFonts w:ascii="Arial" w:hAnsi="Arial" w:cs="Arial"/>
          <w:b/>
          <w:bCs/>
          <w:color w:val="000000"/>
          <w:sz w:val="20"/>
          <w:szCs w:val="20"/>
          <w:u w:val="single"/>
        </w:rPr>
        <w:br/>
      </w:r>
      <w:r w:rsidRPr="0077373E">
        <w:rPr>
          <w:rFonts w:ascii="Arial" w:hAnsi="Arial" w:cs="Arial"/>
          <w:b/>
          <w:bCs/>
          <w:color w:val="000000"/>
          <w:sz w:val="20"/>
          <w:szCs w:val="20"/>
        </w:rPr>
        <w:t>Clarification of Bureau of Primary Health Care Credentialing &amp; Privileging Policy</w:t>
      </w:r>
    </w:p>
    <w:p w:rsidR="006C47EE" w:rsidRPr="0077373E" w:rsidRDefault="006C47EE" w:rsidP="006C47EE">
      <w:pPr>
        <w:pStyle w:val="NormalWeb"/>
        <w:shd w:val="clear" w:color="auto" w:fill="FFFFFF"/>
        <w:spacing w:before="0" w:beforeAutospacing="0" w:after="0" w:afterAutospacing="0"/>
        <w:rPr>
          <w:rFonts w:ascii="Arial" w:hAnsi="Arial" w:cs="Arial"/>
          <w:color w:val="000000"/>
          <w:sz w:val="20"/>
          <w:szCs w:val="20"/>
        </w:rPr>
      </w:pPr>
      <w:r w:rsidRPr="0077373E">
        <w:rPr>
          <w:rFonts w:ascii="Arial" w:hAnsi="Arial" w:cs="Arial"/>
          <w:color w:val="000000"/>
          <w:sz w:val="20"/>
          <w:szCs w:val="20"/>
        </w:rPr>
        <w:t>PIN 2002-22 provides guidance and clarifications related to the requirements that all CHCs must follow when credentialing and privileging each licensed or certified health care practitioner to determine if they meet standards.</w:t>
      </w:r>
    </w:p>
    <w:p w:rsidR="006C47EE" w:rsidRDefault="006C47EE" w:rsidP="001034C4">
      <w:pPr>
        <w:rPr>
          <w:rFonts w:ascii="Arial" w:hAnsi="Arial" w:cs="Arial"/>
          <w:b/>
          <w:color w:val="000000"/>
        </w:rPr>
      </w:pPr>
    </w:p>
    <w:p w:rsidR="001034C4" w:rsidRPr="001034C4" w:rsidRDefault="001034C4" w:rsidP="001034C4">
      <w:pPr>
        <w:rPr>
          <w:rFonts w:ascii="Arial" w:hAnsi="Arial" w:cs="Arial"/>
          <w:b/>
          <w:color w:val="000000"/>
        </w:rPr>
      </w:pPr>
      <w:r w:rsidRPr="001034C4">
        <w:rPr>
          <w:rFonts w:ascii="Arial" w:hAnsi="Arial" w:cs="Arial"/>
          <w:b/>
          <w:color w:val="000000"/>
        </w:rPr>
        <w:t>Referral Tracking</w:t>
      </w:r>
    </w:p>
    <w:p w:rsidR="001034C4" w:rsidRPr="001034C4" w:rsidRDefault="001034C4" w:rsidP="001034C4">
      <w:pPr>
        <w:rPr>
          <w:rFonts w:ascii="Arial" w:hAnsi="Arial" w:cs="Arial"/>
          <w:color w:val="000000"/>
        </w:rPr>
      </w:pPr>
      <w:r w:rsidRPr="001034C4">
        <w:rPr>
          <w:rFonts w:ascii="Arial" w:hAnsi="Arial" w:cs="Arial"/>
          <w:color w:val="000000"/>
        </w:rPr>
        <w:t>The American College of Physicians (ACP) has launched a </w:t>
      </w:r>
      <w:hyperlink r:id="rId11" w:tgtFrame="_blank" w:history="1">
        <w:r w:rsidRPr="001034C4">
          <w:rPr>
            <w:rStyle w:val="Hyperlink"/>
            <w:rFonts w:ascii="Arial" w:hAnsi="Arial" w:cs="Arial"/>
          </w:rPr>
          <w:t>High Value Care Coordination Toolkit</w:t>
        </w:r>
      </w:hyperlink>
      <w:r w:rsidRPr="001034C4">
        <w:rPr>
          <w:rFonts w:ascii="Arial" w:hAnsi="Arial" w:cs="Arial"/>
          <w:color w:val="000000"/>
        </w:rPr>
        <w:t> intended to improve communication about referrals between primary care and subspecialist providers.</w:t>
      </w:r>
    </w:p>
    <w:p w:rsidR="001034C4" w:rsidRPr="001034C4" w:rsidRDefault="001034C4" w:rsidP="001034C4">
      <w:pPr>
        <w:rPr>
          <w:rFonts w:ascii="Arial" w:hAnsi="Arial" w:cs="Arial"/>
          <w:b/>
          <w:color w:val="000000"/>
        </w:rPr>
      </w:pPr>
      <w:r w:rsidRPr="001034C4">
        <w:rPr>
          <w:rFonts w:ascii="Arial" w:hAnsi="Arial" w:cs="Arial"/>
          <w:b/>
          <w:color w:val="000000"/>
        </w:rPr>
        <w:t>Hospitalization Tracking</w:t>
      </w:r>
    </w:p>
    <w:p w:rsidR="001034C4" w:rsidRPr="001034C4" w:rsidRDefault="001034C4" w:rsidP="001034C4">
      <w:pPr>
        <w:rPr>
          <w:rFonts w:ascii="Arial" w:hAnsi="Arial" w:cs="Arial"/>
          <w:color w:val="000000"/>
        </w:rPr>
      </w:pPr>
      <w:r w:rsidRPr="001034C4">
        <w:rPr>
          <w:rFonts w:ascii="Arial" w:hAnsi="Arial" w:cs="Arial"/>
          <w:color w:val="000000"/>
        </w:rPr>
        <w:t xml:space="preserve">ECRI offers a range of templates located </w:t>
      </w:r>
      <w:hyperlink r:id="rId12" w:history="1">
        <w:r w:rsidRPr="001034C4">
          <w:rPr>
            <w:rStyle w:val="Hyperlink"/>
            <w:rFonts w:ascii="Arial" w:hAnsi="Arial" w:cs="Arial"/>
          </w:rPr>
          <w:t>here</w:t>
        </w:r>
      </w:hyperlink>
      <w:r w:rsidRPr="001034C4">
        <w:rPr>
          <w:rFonts w:ascii="Arial" w:hAnsi="Arial" w:cs="Arial"/>
          <w:color w:val="000000"/>
        </w:rPr>
        <w:t>.</w:t>
      </w:r>
    </w:p>
    <w:p w:rsidR="001034C4" w:rsidRPr="001034C4" w:rsidRDefault="001034C4" w:rsidP="001034C4">
      <w:pPr>
        <w:rPr>
          <w:rFonts w:ascii="Arial" w:hAnsi="Arial" w:cs="Arial"/>
          <w:color w:val="000000"/>
        </w:rPr>
      </w:pPr>
    </w:p>
    <w:p w:rsidR="001034C4" w:rsidRPr="001034C4" w:rsidRDefault="001034C4" w:rsidP="001034C4">
      <w:pPr>
        <w:rPr>
          <w:rFonts w:ascii="Arial" w:hAnsi="Arial" w:cs="Arial"/>
          <w:b/>
          <w:color w:val="000000"/>
        </w:rPr>
      </w:pPr>
      <w:r w:rsidRPr="001034C4">
        <w:rPr>
          <w:rFonts w:ascii="Arial" w:hAnsi="Arial" w:cs="Arial"/>
          <w:b/>
          <w:color w:val="000000"/>
        </w:rPr>
        <w:t>Diagnostic Tracking</w:t>
      </w:r>
    </w:p>
    <w:p w:rsidR="001034C4" w:rsidRPr="001034C4" w:rsidRDefault="001034C4" w:rsidP="001034C4">
      <w:pPr>
        <w:rPr>
          <w:rFonts w:ascii="Arial" w:hAnsi="Arial" w:cs="Arial"/>
          <w:color w:val="000000"/>
        </w:rPr>
      </w:pPr>
      <w:r w:rsidRPr="001034C4">
        <w:rPr>
          <w:rFonts w:ascii="Arial" w:hAnsi="Arial" w:cs="Arial"/>
          <w:color w:val="000000"/>
        </w:rPr>
        <w:t xml:space="preserve">ECRI offers guidance articles that can be found </w:t>
      </w:r>
      <w:hyperlink r:id="rId13" w:history="1">
        <w:r w:rsidRPr="001034C4">
          <w:rPr>
            <w:rStyle w:val="Hyperlink"/>
            <w:rFonts w:ascii="Arial" w:hAnsi="Arial" w:cs="Arial"/>
          </w:rPr>
          <w:t>here</w:t>
        </w:r>
      </w:hyperlink>
      <w:r w:rsidRPr="001034C4">
        <w:rPr>
          <w:rFonts w:ascii="Arial" w:hAnsi="Arial" w:cs="Arial"/>
          <w:color w:val="000000"/>
        </w:rPr>
        <w:t>.</w:t>
      </w:r>
    </w:p>
    <w:p w:rsidR="001034C4" w:rsidRPr="001034C4" w:rsidRDefault="001034C4" w:rsidP="001034C4">
      <w:pPr>
        <w:rPr>
          <w:rFonts w:ascii="Arial" w:hAnsi="Arial" w:cs="Arial"/>
          <w:color w:val="000000"/>
        </w:rPr>
      </w:pPr>
    </w:p>
    <w:p w:rsidR="001034C4" w:rsidRPr="001034C4" w:rsidRDefault="001034C4" w:rsidP="001034C4">
      <w:pPr>
        <w:rPr>
          <w:rFonts w:ascii="Arial" w:hAnsi="Arial" w:cs="Arial"/>
          <w:b/>
          <w:color w:val="000000"/>
        </w:rPr>
      </w:pPr>
      <w:r w:rsidRPr="001034C4">
        <w:rPr>
          <w:rFonts w:ascii="Arial" w:hAnsi="Arial" w:cs="Arial"/>
          <w:b/>
          <w:color w:val="000000"/>
        </w:rPr>
        <w:t>QI/QA Plans</w:t>
      </w:r>
    </w:p>
    <w:p w:rsidR="001034C4" w:rsidRPr="001034C4" w:rsidRDefault="001034C4" w:rsidP="001034C4">
      <w:pPr>
        <w:rPr>
          <w:rFonts w:ascii="Arial" w:hAnsi="Arial" w:cs="Arial"/>
          <w:color w:val="000000"/>
        </w:rPr>
      </w:pPr>
      <w:r w:rsidRPr="001034C4">
        <w:rPr>
          <w:rFonts w:ascii="Arial" w:hAnsi="Arial" w:cs="Arial"/>
          <w:color w:val="000000"/>
        </w:rPr>
        <w:t xml:space="preserve">ECRI offers a QI/A toolkit that can be found </w:t>
      </w:r>
      <w:hyperlink r:id="rId14" w:history="1">
        <w:r w:rsidRPr="001034C4">
          <w:rPr>
            <w:rStyle w:val="Hyperlink"/>
            <w:rFonts w:ascii="Arial" w:hAnsi="Arial" w:cs="Arial"/>
          </w:rPr>
          <w:t>here.</w:t>
        </w:r>
      </w:hyperlink>
    </w:p>
    <w:p w:rsidR="001034C4" w:rsidRPr="001034C4" w:rsidRDefault="001034C4" w:rsidP="001034C4">
      <w:pPr>
        <w:rPr>
          <w:rFonts w:ascii="Arial" w:hAnsi="Arial" w:cs="Arial"/>
          <w:color w:val="000000"/>
        </w:rPr>
      </w:pPr>
      <w:r w:rsidRPr="001034C4">
        <w:rPr>
          <w:rFonts w:ascii="Arial" w:hAnsi="Arial" w:cs="Arial"/>
          <w:color w:val="000000"/>
        </w:rPr>
        <w:t xml:space="preserve">Additional resources can be found </w:t>
      </w:r>
      <w:hyperlink r:id="rId15" w:history="1">
        <w:r w:rsidRPr="001034C4">
          <w:rPr>
            <w:rStyle w:val="Hyperlink"/>
            <w:rFonts w:ascii="Arial" w:hAnsi="Arial" w:cs="Arial"/>
          </w:rPr>
          <w:t>here</w:t>
        </w:r>
      </w:hyperlink>
      <w:r w:rsidRPr="001034C4">
        <w:rPr>
          <w:rFonts w:ascii="Arial" w:hAnsi="Arial" w:cs="Arial"/>
          <w:color w:val="000000"/>
        </w:rPr>
        <w:t>.</w:t>
      </w:r>
    </w:p>
    <w:p w:rsidR="001034C4" w:rsidRPr="001034C4" w:rsidRDefault="001034C4" w:rsidP="001034C4">
      <w:pPr>
        <w:rPr>
          <w:rFonts w:ascii="Arial" w:hAnsi="Arial" w:cs="Arial"/>
          <w:color w:val="000000"/>
        </w:rPr>
      </w:pPr>
    </w:p>
    <w:p w:rsidR="001034C4" w:rsidRPr="001034C4" w:rsidRDefault="001034C4" w:rsidP="001034C4">
      <w:pPr>
        <w:rPr>
          <w:rFonts w:ascii="Arial" w:hAnsi="Arial" w:cs="Arial"/>
          <w:b/>
          <w:color w:val="000000"/>
        </w:rPr>
      </w:pPr>
      <w:r w:rsidRPr="001034C4">
        <w:rPr>
          <w:rFonts w:ascii="Arial" w:hAnsi="Arial" w:cs="Arial"/>
          <w:b/>
          <w:color w:val="000000"/>
        </w:rPr>
        <w:t>Credentialing, Staffing</w:t>
      </w:r>
    </w:p>
    <w:p w:rsidR="001034C4" w:rsidRPr="001034C4" w:rsidRDefault="001034C4" w:rsidP="001034C4">
      <w:pPr>
        <w:rPr>
          <w:rFonts w:ascii="Arial" w:hAnsi="Arial" w:cs="Arial"/>
          <w:color w:val="000000"/>
        </w:rPr>
      </w:pPr>
      <w:r w:rsidRPr="001034C4">
        <w:rPr>
          <w:rFonts w:ascii="Arial" w:hAnsi="Arial" w:cs="Arial"/>
          <w:color w:val="000000"/>
        </w:rPr>
        <w:t xml:space="preserve">ECRI offers a credentialing toolkit that can be found </w:t>
      </w:r>
      <w:hyperlink r:id="rId16" w:history="1">
        <w:r w:rsidRPr="001034C4">
          <w:rPr>
            <w:rStyle w:val="Hyperlink"/>
            <w:rFonts w:ascii="Arial" w:hAnsi="Arial" w:cs="Arial"/>
          </w:rPr>
          <w:t>here</w:t>
        </w:r>
      </w:hyperlink>
      <w:r w:rsidRPr="001034C4">
        <w:rPr>
          <w:rFonts w:ascii="Arial" w:hAnsi="Arial" w:cs="Arial"/>
          <w:color w:val="000000"/>
        </w:rPr>
        <w:t>.</w:t>
      </w:r>
    </w:p>
    <w:p w:rsidR="001034C4" w:rsidRPr="001034C4" w:rsidRDefault="001034C4" w:rsidP="001034C4">
      <w:pPr>
        <w:rPr>
          <w:rFonts w:ascii="Arial" w:hAnsi="Arial" w:cs="Arial"/>
          <w:color w:val="000000"/>
        </w:rPr>
      </w:pPr>
    </w:p>
    <w:p w:rsidR="001034C4" w:rsidRPr="001034C4" w:rsidRDefault="001034C4" w:rsidP="001034C4">
      <w:pPr>
        <w:rPr>
          <w:rFonts w:ascii="Arial" w:hAnsi="Arial" w:cs="Arial"/>
          <w:b/>
          <w:color w:val="000000"/>
        </w:rPr>
      </w:pPr>
      <w:r w:rsidRPr="001034C4">
        <w:rPr>
          <w:rFonts w:ascii="Arial" w:hAnsi="Arial" w:cs="Arial"/>
          <w:b/>
          <w:color w:val="000000"/>
        </w:rPr>
        <w:t>Risk Management Training Resources</w:t>
      </w:r>
    </w:p>
    <w:p w:rsidR="001034C4" w:rsidRPr="001034C4" w:rsidRDefault="001034C4" w:rsidP="001034C4">
      <w:pPr>
        <w:rPr>
          <w:rFonts w:ascii="Arial" w:hAnsi="Arial" w:cs="Arial"/>
          <w:color w:val="000000"/>
        </w:rPr>
      </w:pPr>
      <w:r w:rsidRPr="001034C4">
        <w:rPr>
          <w:rFonts w:ascii="Arial" w:hAnsi="Arial" w:cs="Arial"/>
          <w:color w:val="000000"/>
        </w:rPr>
        <w:t xml:space="preserve">ECRI provides a PowerPoint presentation, sample training plan, sign in sheets, post training evaluations and quiz templates. </w:t>
      </w:r>
      <w:hyperlink r:id="rId17" w:history="1">
        <w:r w:rsidRPr="001034C4">
          <w:rPr>
            <w:rStyle w:val="Hyperlink"/>
            <w:rFonts w:ascii="Arial" w:hAnsi="Arial" w:cs="Arial"/>
          </w:rPr>
          <w:t>https://members2.ecri.org/Components/HRSA/Pages/EduTrain1.aspx</w:t>
        </w:r>
      </w:hyperlink>
    </w:p>
    <w:p w:rsidR="001034C4" w:rsidRPr="001034C4" w:rsidRDefault="001034C4" w:rsidP="001034C4">
      <w:pPr>
        <w:rPr>
          <w:rFonts w:ascii="Arial" w:hAnsi="Arial" w:cs="Arial"/>
          <w:color w:val="000000"/>
        </w:rPr>
      </w:pPr>
    </w:p>
    <w:p w:rsidR="001034C4" w:rsidRPr="001034C4" w:rsidRDefault="001034C4" w:rsidP="001034C4">
      <w:pPr>
        <w:rPr>
          <w:rFonts w:ascii="Arial" w:hAnsi="Arial" w:cs="Arial"/>
          <w:color w:val="000000"/>
        </w:rPr>
      </w:pPr>
      <w:r w:rsidRPr="001034C4">
        <w:rPr>
          <w:rFonts w:ascii="Arial" w:hAnsi="Arial" w:cs="Arial"/>
          <w:color w:val="000000"/>
        </w:rPr>
        <w:t xml:space="preserve">Additionally, under the “Creating a Culture of Safety” ECRI’s provides 5 webinar opportunities. </w:t>
      </w:r>
      <w:hyperlink r:id="rId18" w:history="1">
        <w:r w:rsidRPr="001034C4">
          <w:rPr>
            <w:rStyle w:val="Hyperlink"/>
            <w:rFonts w:ascii="Arial" w:hAnsi="Arial" w:cs="Arial"/>
          </w:rPr>
          <w:t>https://www.ecri.org/Conferences/Pages/e-Learn.aspx</w:t>
        </w:r>
      </w:hyperlink>
      <w:r w:rsidRPr="001034C4">
        <w:rPr>
          <w:rFonts w:ascii="Arial" w:hAnsi="Arial" w:cs="Arial"/>
          <w:color w:val="000000"/>
        </w:rPr>
        <w:t xml:space="preserve"> </w:t>
      </w:r>
    </w:p>
    <w:p w:rsidR="001034C4" w:rsidRPr="001034C4" w:rsidRDefault="001034C4" w:rsidP="001034C4">
      <w:pPr>
        <w:rPr>
          <w:rFonts w:ascii="Arial" w:hAnsi="Arial" w:cs="Arial"/>
          <w:color w:val="000000"/>
        </w:rPr>
      </w:pPr>
      <w:r w:rsidRPr="001034C4">
        <w:rPr>
          <w:rFonts w:ascii="Arial" w:hAnsi="Arial" w:cs="Arial"/>
          <w:color w:val="000000"/>
        </w:rPr>
        <w:t>Culture of Safety, Part 1: Overview</w:t>
      </w:r>
    </w:p>
    <w:p w:rsidR="001034C4" w:rsidRPr="001034C4" w:rsidRDefault="001034C4" w:rsidP="001034C4">
      <w:pPr>
        <w:rPr>
          <w:rFonts w:ascii="Arial" w:hAnsi="Arial" w:cs="Arial"/>
          <w:color w:val="000000"/>
        </w:rPr>
      </w:pPr>
      <w:r w:rsidRPr="001034C4">
        <w:rPr>
          <w:rFonts w:ascii="Arial" w:hAnsi="Arial" w:cs="Arial"/>
          <w:color w:val="000000"/>
        </w:rPr>
        <w:t>Culture of Safety, Part 2: Error Reporting and Disclosure</w:t>
      </w:r>
    </w:p>
    <w:p w:rsidR="001034C4" w:rsidRPr="001034C4" w:rsidRDefault="001034C4" w:rsidP="001034C4">
      <w:pPr>
        <w:rPr>
          <w:rFonts w:ascii="Arial" w:hAnsi="Arial" w:cs="Arial"/>
          <w:color w:val="000000"/>
        </w:rPr>
      </w:pPr>
      <w:r w:rsidRPr="001034C4">
        <w:rPr>
          <w:rFonts w:ascii="Arial" w:hAnsi="Arial" w:cs="Arial"/>
          <w:color w:val="000000"/>
        </w:rPr>
        <w:t>Culture of Safety, Part 3: Measuring a Safety Culture</w:t>
      </w:r>
    </w:p>
    <w:p w:rsidR="001034C4" w:rsidRPr="001034C4" w:rsidRDefault="001034C4" w:rsidP="001034C4">
      <w:pPr>
        <w:rPr>
          <w:rFonts w:ascii="Arial" w:hAnsi="Arial" w:cs="Arial"/>
          <w:color w:val="000000"/>
        </w:rPr>
      </w:pPr>
      <w:r w:rsidRPr="001034C4">
        <w:rPr>
          <w:rFonts w:ascii="Arial" w:hAnsi="Arial" w:cs="Arial"/>
          <w:color w:val="000000"/>
        </w:rPr>
        <w:t xml:space="preserve">Culture of Safety, Part 4: Creating a Culture of Safety </w:t>
      </w:r>
    </w:p>
    <w:p w:rsidR="001034C4" w:rsidRPr="001034C4" w:rsidRDefault="001034C4" w:rsidP="001034C4">
      <w:pPr>
        <w:rPr>
          <w:rFonts w:ascii="Arial" w:hAnsi="Arial" w:cs="Arial"/>
          <w:color w:val="000000"/>
        </w:rPr>
      </w:pPr>
      <w:r w:rsidRPr="001034C4">
        <w:rPr>
          <w:rFonts w:ascii="Arial" w:hAnsi="Arial" w:cs="Arial"/>
          <w:color w:val="000000"/>
        </w:rPr>
        <w:t>Culture of Safety, Part 5: Case Studies of Patient Safety Programs</w:t>
      </w:r>
    </w:p>
    <w:p w:rsidR="006C47EE" w:rsidRPr="001034C4" w:rsidRDefault="006C47EE" w:rsidP="001034C4">
      <w:pPr>
        <w:rPr>
          <w:rFonts w:ascii="Arial" w:hAnsi="Arial" w:cs="Arial"/>
        </w:rPr>
      </w:pPr>
    </w:p>
    <w:p w:rsidR="001034C4" w:rsidRPr="001034C4" w:rsidRDefault="001034C4" w:rsidP="001034C4">
      <w:pPr>
        <w:rPr>
          <w:rFonts w:ascii="Arial" w:hAnsi="Arial" w:cs="Arial"/>
        </w:rPr>
      </w:pPr>
    </w:p>
    <w:p w:rsidR="001034C4" w:rsidRPr="001034C4" w:rsidRDefault="001034C4" w:rsidP="001034C4">
      <w:pPr>
        <w:rPr>
          <w:rFonts w:ascii="Arial" w:hAnsi="Arial" w:cs="Arial"/>
        </w:rPr>
      </w:pPr>
      <w:r w:rsidRPr="001034C4">
        <w:rPr>
          <w:rFonts w:ascii="Arial" w:hAnsi="Arial" w:cs="Arial"/>
        </w:rPr>
        <w:t xml:space="preserve">For FTCA-related questions, please contact Tanah Wagenseller at </w:t>
      </w:r>
      <w:hyperlink r:id="rId19" w:history="1">
        <w:r w:rsidRPr="001034C4">
          <w:rPr>
            <w:rStyle w:val="Hyperlink"/>
            <w:rFonts w:ascii="Arial" w:hAnsi="Arial" w:cs="Arial"/>
          </w:rPr>
          <w:t>tanah@cchn.org</w:t>
        </w:r>
      </w:hyperlink>
      <w:r w:rsidRPr="001034C4">
        <w:rPr>
          <w:rFonts w:ascii="Arial" w:hAnsi="Arial" w:cs="Arial"/>
        </w:rPr>
        <w:t xml:space="preserve">. </w:t>
      </w:r>
    </w:p>
    <w:p w:rsidR="00DB0084" w:rsidRDefault="00D44C44"/>
    <w:sectPr w:rsidR="00DB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C4"/>
    <w:rsid w:val="001034C4"/>
    <w:rsid w:val="00307332"/>
    <w:rsid w:val="0042410F"/>
    <w:rsid w:val="006C47EE"/>
    <w:rsid w:val="00D4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4C4"/>
    <w:rPr>
      <w:color w:val="0000FF"/>
      <w:u w:val="single"/>
    </w:rPr>
  </w:style>
  <w:style w:type="paragraph" w:styleId="NormalWeb">
    <w:name w:val="Normal (Web)"/>
    <w:basedOn w:val="Normal"/>
    <w:uiPriority w:val="99"/>
    <w:semiHidden/>
    <w:unhideWhenUsed/>
    <w:rsid w:val="006C47E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4C4"/>
    <w:rPr>
      <w:color w:val="0000FF"/>
      <w:u w:val="single"/>
    </w:rPr>
  </w:style>
  <w:style w:type="paragraph" w:styleId="NormalWeb">
    <w:name w:val="Normal (Web)"/>
    <w:basedOn w:val="Normal"/>
    <w:uiPriority w:val="99"/>
    <w:semiHidden/>
    <w:unhideWhenUsed/>
    <w:rsid w:val="006C47E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hc.hrsa.gov/policiesregulations/policies/pin201101.html" TargetMode="External"/><Relationship Id="rId13" Type="http://schemas.openxmlformats.org/officeDocument/2006/relationships/hyperlink" Target="https://members2.ecri.org/Components/HRSA/Pages/OA5.aspx" TargetMode="External"/><Relationship Id="rId18" Type="http://schemas.openxmlformats.org/officeDocument/2006/relationships/hyperlink" Target="https://www.ecri.org/Conferences/Pages/e-Lear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phc.hrsa.gov/policiesregulations/policies/pal201430.html" TargetMode="External"/><Relationship Id="rId12" Type="http://schemas.openxmlformats.org/officeDocument/2006/relationships/hyperlink" Target="https://members2.ecri.org/Components/HRSA/Pages/TestTrackToolkit.aspx?pnk=hrsa" TargetMode="External"/><Relationship Id="rId17" Type="http://schemas.openxmlformats.org/officeDocument/2006/relationships/hyperlink" Target="https://members2.ecri.org/Components/HRSA/Pages/EduTrain1.aspx" TargetMode="External"/><Relationship Id="rId2" Type="http://schemas.microsoft.com/office/2007/relationships/stylesWithEffects" Target="stylesWithEffects.xml"/><Relationship Id="rId16" Type="http://schemas.openxmlformats.org/officeDocument/2006/relationships/hyperlink" Target="https://members2.ecri.org/Components/HRSA/Pages/CredentialingToolkit.aspx?pnk=hrs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phc.hrsa.gov/ftcatipsheet.pdf" TargetMode="External"/><Relationship Id="rId11" Type="http://schemas.openxmlformats.org/officeDocument/2006/relationships/hyperlink" Target="http://hvc.acponline.org/physres_care_coordination.html" TargetMode="External"/><Relationship Id="rId5" Type="http://schemas.openxmlformats.org/officeDocument/2006/relationships/hyperlink" Target="http://www.bphc.hrsa.gov/ftcatipsheet.pdf" TargetMode="External"/><Relationship Id="rId15" Type="http://schemas.openxmlformats.org/officeDocument/2006/relationships/hyperlink" Target="http://www.hrsa.gov/quality/toolbox/methodology/developingandimplementingaqiplan/part6.html" TargetMode="External"/><Relationship Id="rId10" Type="http://schemas.openxmlformats.org/officeDocument/2006/relationships/hyperlink" Target="http://bphc.hrsa.gov/policiesregulations/policies/pin200222.html" TargetMode="External"/><Relationship Id="rId19" Type="http://schemas.openxmlformats.org/officeDocument/2006/relationships/hyperlink" Target="mailto:tanah@cchn.org" TargetMode="External"/><Relationship Id="rId4" Type="http://schemas.openxmlformats.org/officeDocument/2006/relationships/webSettings" Target="webSettings.xml"/><Relationship Id="rId9" Type="http://schemas.openxmlformats.org/officeDocument/2006/relationships/hyperlink" Target="http://bphc.hrsa.gov/policiesregulations/policies/pin200716.html" TargetMode="External"/><Relationship Id="rId14" Type="http://schemas.openxmlformats.org/officeDocument/2006/relationships/hyperlink" Target="https://members2.ecri.org/Components/HRSA/Pages/QAToolkit.aspx?pnk=hr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Macrander</dc:creator>
  <cp:lastModifiedBy>Sarah Macrander</cp:lastModifiedBy>
  <cp:revision>2</cp:revision>
  <dcterms:created xsi:type="dcterms:W3CDTF">2014-05-14T20:40:00Z</dcterms:created>
  <dcterms:modified xsi:type="dcterms:W3CDTF">2014-05-14T21:59:00Z</dcterms:modified>
</cp:coreProperties>
</file>